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B3" w:rsidRDefault="00670EB3" w:rsidP="00670EB3">
      <w:r>
        <w:rPr>
          <w:rFonts w:ascii="Times New Roman" w:eastAsia="Times New Roman" w:hAnsi="Times New Roman" w:cs="Times New Roman"/>
          <w:b/>
          <w:bCs/>
          <w:noProof/>
          <w:kern w:val="36"/>
          <w:sz w:val="48"/>
          <w:szCs w:val="48"/>
        </w:rPr>
        <w:drawing>
          <wp:inline distT="0" distB="0" distL="0" distR="0" wp14:anchorId="09524A24" wp14:editId="34F30CFD">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670EB3" w:rsidRDefault="00670EB3">
      <w:pPr>
        <w:rPr>
          <w:rStyle w:val="subheading1"/>
          <w:color w:val="auto"/>
        </w:rPr>
      </w:pPr>
      <w:r w:rsidRPr="00670EB3">
        <w:rPr>
          <w:rStyle w:val="heading10"/>
          <w:color w:val="auto"/>
          <w:sz w:val="48"/>
          <w:szCs w:val="48"/>
        </w:rPr>
        <w:t>#7 Consumer Complaints</w:t>
      </w:r>
      <w:r w:rsidRPr="00670EB3">
        <w:br/>
      </w:r>
      <w:r w:rsidRPr="00670EB3">
        <w:rPr>
          <w:rStyle w:val="subheading1"/>
          <w:color w:val="auto"/>
        </w:rPr>
        <w:t>Adopt and maintain procedures for resolving consumer complaints.</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270"/>
        <w:gridCol w:w="5130"/>
      </w:tblGrid>
      <w:tr w:rsidR="00670EB3" w:rsidRPr="00FF3588" w:rsidTr="00F30EFC">
        <w:trPr>
          <w:trHeight w:val="837"/>
        </w:trPr>
        <w:tc>
          <w:tcPr>
            <w:tcW w:w="11088" w:type="dxa"/>
            <w:gridSpan w:val="3"/>
            <w:vAlign w:val="center"/>
          </w:tcPr>
          <w:p w:rsidR="00670EB3" w:rsidRPr="00162485" w:rsidRDefault="00670EB3" w:rsidP="00F30EFC">
            <w:pPr>
              <w:pStyle w:val="Heading1"/>
              <w:spacing w:before="0" w:beforeAutospacing="0" w:after="0" w:afterAutospacing="0"/>
              <w:outlineLvl w:val="0"/>
            </w:pPr>
            <w:r w:rsidRPr="00162485">
              <w:t>Purpose</w:t>
            </w:r>
          </w:p>
          <w:p w:rsidR="00670EB3" w:rsidRPr="00FF3588" w:rsidRDefault="00670EB3" w:rsidP="00F30EFC">
            <w:pPr>
              <w:jc w:val="both"/>
              <w:rPr>
                <w:rFonts w:cs="Segoe UI"/>
                <w:color w:val="002B5C"/>
                <w:szCs w:val="20"/>
              </w:rPr>
            </w:pPr>
            <w:r w:rsidRPr="00CD2BE6">
              <w:rPr>
                <w:rFonts w:cs="Segoe UI"/>
                <w:szCs w:val="20"/>
              </w:rPr>
              <w:t>A process for receiving and addressing consumer complaints is important to ensure that any instances of poor service or non-compliance do not go undiscovered.</w:t>
            </w:r>
          </w:p>
        </w:tc>
      </w:tr>
      <w:tr w:rsidR="00670EB3" w:rsidRPr="00792F0F" w:rsidTr="00F30EFC">
        <w:trPr>
          <w:trHeight w:val="68"/>
        </w:trPr>
        <w:tc>
          <w:tcPr>
            <w:tcW w:w="5688" w:type="dxa"/>
            <w:vMerge w:val="restart"/>
          </w:tcPr>
          <w:p w:rsidR="00670EB3" w:rsidRDefault="00670EB3" w:rsidP="00F30EFC">
            <w:pPr>
              <w:pStyle w:val="Heading1"/>
              <w:outlineLvl w:val="0"/>
            </w:pPr>
            <w:r>
              <w:t>What You Should Know</w:t>
            </w:r>
          </w:p>
          <w:p w:rsidR="00670EB3" w:rsidRDefault="00670EB3" w:rsidP="00F30EFC">
            <w:pPr>
              <w:pStyle w:val="Heading1"/>
              <w:spacing w:before="0"/>
              <w:jc w:val="both"/>
              <w:outlineLvl w:val="0"/>
              <w:rPr>
                <w:rFonts w:ascii="Segoe UI" w:hAnsi="Segoe UI"/>
                <w:b w:val="0"/>
                <w:sz w:val="18"/>
              </w:rPr>
            </w:pPr>
            <w:r w:rsidRPr="00CD2BE6">
              <w:rPr>
                <w:rFonts w:ascii="Segoe UI" w:hAnsi="Segoe UI"/>
                <w:b w:val="0"/>
                <w:sz w:val="18"/>
              </w:rPr>
              <w:t xml:space="preserve">The CFPB bulletin issued in April 2012 addresses the need for lenders to manage their third party service providers to limit the potential for statutory or regulatory violations and related consumer harm. </w:t>
            </w:r>
          </w:p>
          <w:p w:rsidR="00670EB3" w:rsidRPr="00480F94" w:rsidRDefault="00670EB3" w:rsidP="00F30EFC">
            <w:pPr>
              <w:pStyle w:val="Heading1"/>
              <w:spacing w:before="0"/>
              <w:jc w:val="both"/>
              <w:outlineLvl w:val="0"/>
              <w:rPr>
                <w:sz w:val="18"/>
              </w:rPr>
            </w:pPr>
            <w:r>
              <w:rPr>
                <w:rFonts w:ascii="Segoe UI" w:hAnsi="Segoe UI"/>
                <w:b w:val="0"/>
                <w:sz w:val="18"/>
              </w:rPr>
              <w:t>Closing attorneys</w:t>
            </w:r>
            <w:r w:rsidRPr="00CD2BE6">
              <w:rPr>
                <w:rFonts w:ascii="Segoe UI" w:hAnsi="Segoe UI"/>
                <w:b w:val="0"/>
                <w:sz w:val="18"/>
              </w:rPr>
              <w:t xml:space="preserve"> are encouraged to establish internal controls and monitoring of their interaction with </w:t>
            </w:r>
            <w:r>
              <w:rPr>
                <w:rFonts w:ascii="Segoe UI" w:hAnsi="Segoe UI"/>
                <w:b w:val="0"/>
                <w:sz w:val="18"/>
              </w:rPr>
              <w:t>client</w:t>
            </w:r>
            <w:r w:rsidRPr="00CD2BE6">
              <w:rPr>
                <w:rFonts w:ascii="Segoe UI" w:hAnsi="Segoe UI"/>
                <w:b w:val="0"/>
                <w:sz w:val="18"/>
              </w:rPr>
              <w:t>s with an eye to compliance with consumer laws, including a process to take prompt action to address fully any problems identified. Creating and maintainin</w:t>
            </w:r>
            <w:r>
              <w:rPr>
                <w:rFonts w:ascii="Segoe UI" w:hAnsi="Segoe UI"/>
                <w:b w:val="0"/>
                <w:sz w:val="18"/>
              </w:rPr>
              <w:t>g a formal complaints procedure</w:t>
            </w:r>
            <w:r w:rsidRPr="00CD2BE6">
              <w:rPr>
                <w:rFonts w:ascii="Segoe UI" w:hAnsi="Segoe UI"/>
                <w:b w:val="0"/>
                <w:sz w:val="18"/>
              </w:rPr>
              <w:t xml:space="preserve"> demonstrates a commitment to reducing risks to consumers.</w:t>
            </w:r>
          </w:p>
        </w:tc>
        <w:tc>
          <w:tcPr>
            <w:tcW w:w="270" w:type="dxa"/>
            <w:tcBorders>
              <w:right w:val="thinThickSmallGap" w:sz="12" w:space="0" w:color="002B5C"/>
            </w:tcBorders>
            <w:shd w:val="clear" w:color="auto" w:fill="auto"/>
          </w:tcPr>
          <w:p w:rsidR="00670EB3" w:rsidRPr="000510EC" w:rsidRDefault="00670EB3" w:rsidP="00F30EFC">
            <w:pPr>
              <w:ind w:left="72" w:hanging="120"/>
              <w:jc w:val="center"/>
              <w:rPr>
                <w:rFonts w:cs="Segoe UI"/>
                <w:color w:val="FFC425"/>
                <w:szCs w:val="20"/>
              </w:rPr>
            </w:pPr>
          </w:p>
        </w:tc>
        <w:tc>
          <w:tcPr>
            <w:tcW w:w="5130" w:type="dxa"/>
            <w:vMerge w:val="restart"/>
            <w:tcBorders>
              <w:top w:val="thinThickSmallGap" w:sz="12" w:space="0" w:color="002B5C"/>
              <w:left w:val="thinThickSmallGap" w:sz="12" w:space="0" w:color="002B5C"/>
              <w:right w:val="thickThinSmallGap" w:sz="12" w:space="0" w:color="002B5C"/>
            </w:tcBorders>
            <w:shd w:val="clear" w:color="auto" w:fill="F2F2F2" w:themeFill="background1" w:themeFillShade="F2"/>
            <w:vAlign w:val="center"/>
          </w:tcPr>
          <w:p w:rsidR="00670EB3" w:rsidRPr="00E06E94" w:rsidRDefault="00670EB3" w:rsidP="00F30EFC">
            <w:pPr>
              <w:pStyle w:val="Heading1"/>
              <w:outlineLvl w:val="0"/>
              <w:rPr>
                <w:color w:val="FFC425"/>
                <w:sz w:val="36"/>
              </w:rPr>
            </w:pPr>
            <w:r w:rsidRPr="00E06E94">
              <w:t>Items to Consider and Discuss</w:t>
            </w:r>
          </w:p>
          <w:p w:rsidR="00670EB3" w:rsidRPr="00CD2BE6" w:rsidRDefault="00670EB3" w:rsidP="00670EB3">
            <w:pPr>
              <w:pStyle w:val="ListParagraph"/>
              <w:numPr>
                <w:ilvl w:val="0"/>
                <w:numId w:val="1"/>
              </w:numPr>
              <w:spacing w:before="0" w:after="0"/>
              <w:rPr>
                <w:rFonts w:cs="Segoe UI"/>
              </w:rPr>
            </w:pPr>
            <w:r w:rsidRPr="00CD2BE6">
              <w:rPr>
                <w:rFonts w:cs="Segoe UI"/>
              </w:rPr>
              <w:t>Who will be responsible for handling complaints?</w:t>
            </w:r>
          </w:p>
          <w:p w:rsidR="00670EB3" w:rsidRDefault="00670EB3" w:rsidP="00670EB3">
            <w:pPr>
              <w:pStyle w:val="ListParagraph"/>
              <w:numPr>
                <w:ilvl w:val="0"/>
                <w:numId w:val="1"/>
              </w:numPr>
              <w:spacing w:before="0" w:after="0"/>
              <w:rPr>
                <w:rFonts w:cs="Segoe UI"/>
              </w:rPr>
            </w:pPr>
            <w:r w:rsidRPr="00CD2BE6">
              <w:rPr>
                <w:rFonts w:cs="Segoe UI"/>
              </w:rPr>
              <w:t xml:space="preserve">What kind of training can you provide to equip your employees to handle </w:t>
            </w:r>
            <w:r>
              <w:rPr>
                <w:rFonts w:cs="Segoe UI"/>
              </w:rPr>
              <w:t>client</w:t>
            </w:r>
            <w:r w:rsidRPr="00CD2BE6">
              <w:rPr>
                <w:rFonts w:cs="Segoe UI"/>
              </w:rPr>
              <w:t xml:space="preserve">s and </w:t>
            </w:r>
            <w:r>
              <w:rPr>
                <w:rFonts w:cs="Segoe UI"/>
              </w:rPr>
              <w:t>client</w:t>
            </w:r>
            <w:r w:rsidRPr="00CD2BE6">
              <w:rPr>
                <w:rFonts w:cs="Segoe UI"/>
              </w:rPr>
              <w:t xml:space="preserve"> complaints?</w:t>
            </w:r>
          </w:p>
          <w:p w:rsidR="00670EB3" w:rsidRPr="00CD2BE6" w:rsidRDefault="00670EB3" w:rsidP="00670EB3">
            <w:pPr>
              <w:pStyle w:val="ListParagraph"/>
              <w:numPr>
                <w:ilvl w:val="0"/>
                <w:numId w:val="1"/>
              </w:numPr>
              <w:spacing w:before="0" w:after="0"/>
              <w:rPr>
                <w:rFonts w:cs="Segoe UI"/>
              </w:rPr>
            </w:pPr>
            <w:r>
              <w:rPr>
                <w:rFonts w:cs="Segoe UI"/>
              </w:rPr>
              <w:t>How can you track and monitor client complaints to assure that you are notified and they are appropriately handled?</w:t>
            </w:r>
          </w:p>
          <w:p w:rsidR="00670EB3" w:rsidRPr="00792F0F" w:rsidRDefault="00670EB3" w:rsidP="00670EB3">
            <w:pPr>
              <w:pStyle w:val="ListParagraph"/>
              <w:numPr>
                <w:ilvl w:val="0"/>
                <w:numId w:val="1"/>
              </w:numPr>
              <w:spacing w:before="0" w:after="0"/>
              <w:rPr>
                <w:rFonts w:cs="Segoe UI"/>
              </w:rPr>
            </w:pPr>
            <w:r w:rsidRPr="00CD2BE6">
              <w:rPr>
                <w:rFonts w:cs="Segoe UI"/>
              </w:rPr>
              <w:t xml:space="preserve">How can you use complaints as a tool to improve your </w:t>
            </w:r>
            <w:r>
              <w:rPr>
                <w:rFonts w:cs="Segoe UI"/>
              </w:rPr>
              <w:t>law firm</w:t>
            </w:r>
            <w:r w:rsidRPr="00CD2BE6">
              <w:rPr>
                <w:rFonts w:cs="Segoe UI"/>
              </w:rPr>
              <w:t>?</w:t>
            </w:r>
          </w:p>
        </w:tc>
      </w:tr>
      <w:tr w:rsidR="00670EB3" w:rsidRPr="000510EC" w:rsidTr="00F30EFC">
        <w:trPr>
          <w:trHeight w:val="1329"/>
        </w:trPr>
        <w:tc>
          <w:tcPr>
            <w:tcW w:w="5688" w:type="dxa"/>
            <w:vMerge/>
          </w:tcPr>
          <w:p w:rsidR="00670EB3" w:rsidRPr="00792F0F" w:rsidRDefault="00670EB3" w:rsidP="00F30EFC">
            <w:pPr>
              <w:jc w:val="both"/>
              <w:rPr>
                <w:rFonts w:ascii="Gill Sans Ultra Bold Condensed" w:hAnsi="Gill Sans Ultra Bold Condensed"/>
                <w:color w:val="FFC425"/>
                <w:sz w:val="36"/>
              </w:rPr>
            </w:pPr>
          </w:p>
        </w:tc>
        <w:tc>
          <w:tcPr>
            <w:tcW w:w="270" w:type="dxa"/>
            <w:vMerge w:val="restart"/>
            <w:tcBorders>
              <w:right w:val="thinThickSmallGap" w:sz="12" w:space="0" w:color="002B5C"/>
            </w:tcBorders>
            <w:shd w:val="clear" w:color="auto" w:fill="auto"/>
          </w:tcPr>
          <w:p w:rsidR="00670EB3" w:rsidRPr="000510EC" w:rsidRDefault="00670EB3" w:rsidP="00F30EFC">
            <w:pPr>
              <w:ind w:left="72" w:hanging="120"/>
              <w:jc w:val="center"/>
              <w:rPr>
                <w:rFonts w:cs="Segoe UI"/>
                <w:color w:val="FFC425"/>
                <w:szCs w:val="20"/>
              </w:rPr>
            </w:pPr>
          </w:p>
        </w:tc>
        <w:tc>
          <w:tcPr>
            <w:tcW w:w="5130" w:type="dxa"/>
            <w:vMerge/>
            <w:tcBorders>
              <w:left w:val="thinThickSmallGap" w:sz="12" w:space="0" w:color="002B5C"/>
              <w:bottom w:val="thinThickSmallGap" w:sz="12" w:space="0" w:color="002B5C"/>
              <w:right w:val="thickThinSmallGap" w:sz="12" w:space="0" w:color="002B5C"/>
            </w:tcBorders>
            <w:shd w:val="clear" w:color="auto" w:fill="F2F2F2" w:themeFill="background1" w:themeFillShade="F2"/>
            <w:vAlign w:val="center"/>
          </w:tcPr>
          <w:p w:rsidR="00670EB3" w:rsidRPr="000510EC" w:rsidRDefault="00670EB3" w:rsidP="00670EB3">
            <w:pPr>
              <w:pStyle w:val="ListParagraph"/>
              <w:numPr>
                <w:ilvl w:val="0"/>
                <w:numId w:val="1"/>
              </w:numPr>
              <w:spacing w:before="0" w:after="0"/>
              <w:rPr>
                <w:rFonts w:cs="Segoe UI"/>
              </w:rPr>
            </w:pPr>
          </w:p>
        </w:tc>
      </w:tr>
      <w:tr w:rsidR="00670EB3" w:rsidRPr="00DD5B2F" w:rsidTr="00F30EFC">
        <w:trPr>
          <w:trHeight w:val="20"/>
        </w:trPr>
        <w:tc>
          <w:tcPr>
            <w:tcW w:w="5688" w:type="dxa"/>
            <w:vMerge/>
          </w:tcPr>
          <w:p w:rsidR="00670EB3" w:rsidRDefault="00670EB3" w:rsidP="00670EB3">
            <w:pPr>
              <w:pStyle w:val="ListParagraph"/>
              <w:numPr>
                <w:ilvl w:val="0"/>
                <w:numId w:val="2"/>
              </w:numPr>
              <w:spacing w:before="0" w:after="0"/>
            </w:pPr>
          </w:p>
        </w:tc>
        <w:tc>
          <w:tcPr>
            <w:tcW w:w="270" w:type="dxa"/>
            <w:vMerge/>
            <w:shd w:val="clear" w:color="auto" w:fill="auto"/>
          </w:tcPr>
          <w:p w:rsidR="00670EB3" w:rsidRPr="000510EC" w:rsidRDefault="00670EB3" w:rsidP="00F30EFC">
            <w:pPr>
              <w:ind w:left="72" w:hanging="120"/>
              <w:jc w:val="center"/>
              <w:rPr>
                <w:rFonts w:cs="Segoe UI"/>
                <w:color w:val="FFC425"/>
                <w:szCs w:val="20"/>
              </w:rPr>
            </w:pPr>
          </w:p>
        </w:tc>
        <w:tc>
          <w:tcPr>
            <w:tcW w:w="5130" w:type="dxa"/>
            <w:tcBorders>
              <w:top w:val="thinThickSmallGap" w:sz="12" w:space="0" w:color="002B5C"/>
            </w:tcBorders>
            <w:shd w:val="clear" w:color="auto" w:fill="auto"/>
            <w:vAlign w:val="center"/>
          </w:tcPr>
          <w:p w:rsidR="00670EB3" w:rsidRPr="00DD5B2F" w:rsidRDefault="00670EB3" w:rsidP="00F30EFC">
            <w:pPr>
              <w:rPr>
                <w:rFonts w:cs="Segoe UI"/>
                <w:szCs w:val="20"/>
              </w:rPr>
            </w:pPr>
          </w:p>
        </w:tc>
      </w:tr>
    </w:tbl>
    <w:p w:rsidR="00670EB3" w:rsidRPr="00670EB3" w:rsidRDefault="00670EB3">
      <w:bookmarkStart w:id="0" w:name="_GoBack"/>
      <w:bookmarkEnd w:id="0"/>
    </w:p>
    <w:sectPr w:rsidR="00670EB3" w:rsidRPr="00670EB3" w:rsidSect="00670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42AA9"/>
    <w:multiLevelType w:val="hybridMultilevel"/>
    <w:tmpl w:val="D5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B3"/>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6249A"/>
    <w:rsid w:val="00670EB3"/>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B3"/>
  </w:style>
  <w:style w:type="paragraph" w:styleId="Heading1">
    <w:name w:val="heading 1"/>
    <w:basedOn w:val="Normal"/>
    <w:link w:val="Heading1Char"/>
    <w:qFormat/>
    <w:rsid w:val="00670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EB3"/>
    <w:rPr>
      <w:rFonts w:ascii="Tahoma" w:hAnsi="Tahoma" w:cs="Tahoma"/>
      <w:sz w:val="16"/>
      <w:szCs w:val="16"/>
    </w:rPr>
  </w:style>
  <w:style w:type="character" w:customStyle="1" w:styleId="heading10">
    <w:name w:val="heading1"/>
    <w:basedOn w:val="DefaultParagraphFont"/>
    <w:rsid w:val="00670EB3"/>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670EB3"/>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670EB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70EB3"/>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670EB3"/>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B3"/>
  </w:style>
  <w:style w:type="paragraph" w:styleId="Heading1">
    <w:name w:val="heading 1"/>
    <w:basedOn w:val="Normal"/>
    <w:link w:val="Heading1Char"/>
    <w:qFormat/>
    <w:rsid w:val="00670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EB3"/>
    <w:rPr>
      <w:rFonts w:ascii="Tahoma" w:hAnsi="Tahoma" w:cs="Tahoma"/>
      <w:sz w:val="16"/>
      <w:szCs w:val="16"/>
    </w:rPr>
  </w:style>
  <w:style w:type="character" w:customStyle="1" w:styleId="heading10">
    <w:name w:val="heading1"/>
    <w:basedOn w:val="DefaultParagraphFont"/>
    <w:rsid w:val="00670EB3"/>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670EB3"/>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670EB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70EB3"/>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670EB3"/>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2014-03-16T20:56:00Z</dcterms:created>
  <dcterms:modified xsi:type="dcterms:W3CDTF">2014-03-16T20:58:00Z</dcterms:modified>
</cp:coreProperties>
</file>